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DF69" w14:textId="77777777" w:rsidR="0059627C" w:rsidRDefault="001A3DF3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承諾安裝智慧</w:t>
      </w:r>
      <w:proofErr w:type="gramStart"/>
      <w:r>
        <w:rPr>
          <w:rFonts w:ascii="標楷體" w:eastAsia="標楷體" w:hAnsi="標楷體"/>
          <w:sz w:val="36"/>
          <w:szCs w:val="36"/>
        </w:rPr>
        <w:t>表頭切結</w:t>
      </w:r>
      <w:proofErr w:type="gramEnd"/>
      <w:r>
        <w:rPr>
          <w:rFonts w:ascii="標楷體" w:eastAsia="標楷體" w:hAnsi="標楷體"/>
          <w:sz w:val="36"/>
          <w:szCs w:val="36"/>
        </w:rPr>
        <w:t>書</w:t>
      </w:r>
    </w:p>
    <w:p w14:paraId="37016416" w14:textId="77777777" w:rsidR="0059627C" w:rsidRDefault="001A3DF3">
      <w:pPr>
        <w:snapToGrid w:val="0"/>
        <w:spacing w:line="360" w:lineRule="auto"/>
        <w:ind w:firstLine="480"/>
      </w:pPr>
      <w:r>
        <w:rPr>
          <w:rFonts w:ascii="標楷體" w:eastAsia="標楷體" w:hAnsi="標楷體"/>
          <w:sz w:val="28"/>
          <w:szCs w:val="28"/>
        </w:rPr>
        <w:t>申請人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>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為地號：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14:paraId="4B696886" w14:textId="77777777" w:rsidR="0059627C" w:rsidRDefault="001A3DF3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平面圖：</w:t>
      </w:r>
      <w:r>
        <w:rPr>
          <w:rFonts w:ascii="標楷體" w:eastAsia="標楷體" w:hAnsi="標楷體"/>
          <w:sz w:val="28"/>
          <w:szCs w:val="28"/>
          <w:u w:val="single"/>
        </w:rPr>
        <w:t>如附件</w:t>
      </w:r>
    </w:p>
    <w:p w14:paraId="25DBAFED" w14:textId="77777777" w:rsidR="0059627C" w:rsidRDefault="001A3DF3">
      <w:pPr>
        <w:snapToGrid w:val="0"/>
        <w:spacing w:line="360" w:lineRule="auto"/>
        <w:ind w:left="283"/>
      </w:pP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可由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中市158不動產資訊樂活網(網址：</w:t>
      </w:r>
      <w:hyperlink r:id="rId8" w:history="1">
        <w:r w:rsidR="00682835" w:rsidRPr="009C2887">
          <w:rPr>
            <w:rStyle w:val="a9"/>
            <w:rFonts w:asciiTheme="minorHAnsi" w:eastAsia="標楷體" w:hAnsiTheme="minorHAnsi" w:cstheme="minorHAnsi"/>
            <w:szCs w:val="24"/>
          </w:rPr>
          <w:t>https://lohas.taichung.gov.tw/lohas</w:t>
        </w:r>
      </w:hyperlink>
      <w:r>
        <w:rPr>
          <w:rFonts w:ascii="標楷體" w:eastAsia="標楷體" w:hAnsi="標楷體"/>
          <w:szCs w:val="24"/>
        </w:rPr>
        <w:t>)或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中市空間地圖查詢系統(網址</w:t>
      </w:r>
      <w:hyperlink r:id="rId9" w:history="1">
        <w:r w:rsidR="00682835" w:rsidRPr="009C2887">
          <w:rPr>
            <w:rStyle w:val="a9"/>
          </w:rPr>
          <w:t>https://gismap.taichung.gov.tw/</w:t>
        </w:r>
      </w:hyperlink>
      <w:r>
        <w:rPr>
          <w:rFonts w:ascii="標楷體" w:eastAsia="標楷體" w:hAnsi="標楷體"/>
          <w:szCs w:val="24"/>
        </w:rPr>
        <w:t>)列印相關區域後標示基地範圍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</w:p>
    <w:p w14:paraId="77F8E95E" w14:textId="77777777" w:rsidR="0059627C" w:rsidRDefault="0059627C">
      <w:pPr>
        <w:snapToGrid w:val="0"/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</w:p>
    <w:p w14:paraId="231DA5EC" w14:textId="77777777" w:rsidR="0059627C" w:rsidRDefault="001A3DF3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sz w:val="28"/>
          <w:szCs w:val="28"/>
        </w:rPr>
        <w:t>案名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</w:t>
      </w:r>
    </w:p>
    <w:p w14:paraId="4373226E" w14:textId="77777777" w:rsidR="0059627C" w:rsidRDefault="001A3DF3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>先行辦理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</w:t>
      </w:r>
      <w:r>
        <w:rPr>
          <w:rFonts w:ascii="標楷體" w:eastAsia="標楷體" w:hAnsi="標楷體"/>
          <w:kern w:val="0"/>
          <w:sz w:val="28"/>
          <w:szCs w:val="28"/>
        </w:rPr>
        <w:t>水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湳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經貿園區</w:t>
      </w:r>
      <w:r>
        <w:rPr>
          <w:rFonts w:ascii="標楷體" w:eastAsia="標楷體" w:hAnsi="標楷體"/>
          <w:sz w:val="28"/>
          <w:szCs w:val="28"/>
        </w:rPr>
        <w:t>智慧連網設備與資訊整合計畫書審查作業，依「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</w:t>
      </w:r>
      <w:r>
        <w:rPr>
          <w:rFonts w:ascii="標楷體" w:eastAsia="標楷體" w:hAnsi="標楷體"/>
          <w:kern w:val="0"/>
          <w:sz w:val="28"/>
          <w:szCs w:val="28"/>
        </w:rPr>
        <w:t>水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湳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經貿園區</w:t>
      </w:r>
      <w:r>
        <w:rPr>
          <w:rFonts w:ascii="標楷體" w:eastAsia="標楷體" w:hAnsi="標楷體"/>
          <w:sz w:val="28"/>
          <w:szCs w:val="28"/>
        </w:rPr>
        <w:t>智慧連網設備與資訊整合計畫書審查原則」第四條與第五條規定，本案須至少規劃裝設</w:t>
      </w:r>
      <w:r>
        <w:rPr>
          <w:rFonts w:ascii="標楷體" w:eastAsia="標楷體" w:hAnsi="標楷體" w:cs="新細明體"/>
          <w:kern w:val="0"/>
          <w:sz w:val="28"/>
          <w:szCs w:val="28"/>
        </w:rPr>
        <w:t>智慧電表、智慧水表、智慧瓦斯表等三種裝置，並</w:t>
      </w:r>
      <w:r>
        <w:rPr>
          <w:rFonts w:ascii="標楷體" w:eastAsia="標楷體" w:hAnsi="標楷體"/>
          <w:sz w:val="28"/>
          <w:szCs w:val="28"/>
        </w:rPr>
        <w:t>預留智慧表頭所需之電力、網路、設備空間配置，並</w:t>
      </w:r>
      <w:r>
        <w:rPr>
          <w:rFonts w:ascii="標楷體" w:eastAsia="標楷體" w:hAnsi="標楷體" w:cs="新細明體"/>
          <w:kern w:val="0"/>
          <w:sz w:val="28"/>
          <w:szCs w:val="28"/>
        </w:rPr>
        <w:t>配合各能源事業單位智慧表頭推動期程完成裝設。</w:t>
      </w:r>
    </w:p>
    <w:p w14:paraId="32FCABAE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此致</w:t>
      </w:r>
    </w:p>
    <w:p w14:paraId="22530442" w14:textId="77777777" w:rsidR="0059627C" w:rsidRDefault="001A3DF3">
      <w:pPr>
        <w:snapToGrid w:val="0"/>
        <w:spacing w:line="360" w:lineRule="auto"/>
        <w:ind w:firstLine="14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○○○○○○○○○(股份有限公司)</w:t>
      </w:r>
    </w:p>
    <w:p w14:paraId="65D72DD8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立切結書人</w:t>
      </w:r>
    </w:p>
    <w:p w14:paraId="0B069775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申請人                                簽章</w:t>
      </w:r>
    </w:p>
    <w:p w14:paraId="16ED0AC5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統一編號</w:t>
      </w:r>
    </w:p>
    <w:p w14:paraId="1EC2E1F0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聯絡地址</w:t>
      </w:r>
    </w:p>
    <w:p w14:paraId="35627AC5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聯絡電話</w:t>
      </w:r>
    </w:p>
    <w:p w14:paraId="1E0CB574" w14:textId="77777777" w:rsidR="0059627C" w:rsidRDefault="001A3DF3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中華民國○○○年○○月○○日</w:t>
      </w:r>
    </w:p>
    <w:tbl>
      <w:tblPr>
        <w:tblW w:w="95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7904"/>
      </w:tblGrid>
      <w:tr w:rsidR="0059627C" w14:paraId="21D6DD95" w14:textId="77777777">
        <w:trPr>
          <w:trHeight w:val="1798"/>
        </w:trPr>
        <w:tc>
          <w:tcPr>
            <w:tcW w:w="16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ED78" w14:textId="77777777" w:rsidR="0059627C" w:rsidRDefault="001A3DF3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簽核意見欄</w:t>
            </w:r>
          </w:p>
        </w:tc>
        <w:tc>
          <w:tcPr>
            <w:tcW w:w="7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F59F" w14:textId="77777777" w:rsidR="0059627C" w:rsidRDefault="0059627C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4AFF6AAE" w14:textId="77777777" w:rsidR="0059627C" w:rsidRDefault="0059627C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59627C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8404" w14:textId="77777777" w:rsidR="004058B1" w:rsidRDefault="004058B1">
      <w:r>
        <w:separator/>
      </w:r>
    </w:p>
  </w:endnote>
  <w:endnote w:type="continuationSeparator" w:id="0">
    <w:p w14:paraId="655F656E" w14:textId="77777777" w:rsidR="004058B1" w:rsidRDefault="0040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D560" w14:textId="77777777" w:rsidR="008C2FC3" w:rsidRDefault="001A3DF3">
    <w:pPr>
      <w:pStyle w:val="a5"/>
      <w:rPr>
        <w:rFonts w:ascii="標楷體" w:eastAsia="標楷體" w:hAnsi="標楷體"/>
      </w:rPr>
    </w:pPr>
    <w:r>
      <w:rPr>
        <w:rFonts w:ascii="標楷體" w:eastAsia="標楷體" w:hAnsi="標楷體"/>
      </w:rPr>
      <w:t>本案係配合水</w:t>
    </w:r>
    <w:proofErr w:type="gramStart"/>
    <w:r>
      <w:rPr>
        <w:rFonts w:ascii="標楷體" w:eastAsia="標楷體" w:hAnsi="標楷體"/>
      </w:rPr>
      <w:t>湳</w:t>
    </w:r>
    <w:proofErr w:type="gramEnd"/>
    <w:r>
      <w:rPr>
        <w:rFonts w:ascii="標楷體" w:eastAsia="標楷體" w:hAnsi="標楷體"/>
      </w:rPr>
      <w:t>經貿園區智慧連網設備與資訊整合計畫書審查原則申請智慧表頭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AB62" w14:textId="77777777" w:rsidR="004058B1" w:rsidRDefault="004058B1">
      <w:r>
        <w:rPr>
          <w:color w:val="000000"/>
        </w:rPr>
        <w:separator/>
      </w:r>
    </w:p>
  </w:footnote>
  <w:footnote w:type="continuationSeparator" w:id="0">
    <w:p w14:paraId="0BA68D96" w14:textId="77777777" w:rsidR="004058B1" w:rsidRDefault="0040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42A"/>
    <w:multiLevelType w:val="multilevel"/>
    <w:tmpl w:val="9E4C3480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7C"/>
    <w:rsid w:val="001A3DF3"/>
    <w:rsid w:val="00355C91"/>
    <w:rsid w:val="004058B1"/>
    <w:rsid w:val="0059627C"/>
    <w:rsid w:val="005C7758"/>
    <w:rsid w:val="00682835"/>
    <w:rsid w:val="009C2887"/>
    <w:rsid w:val="00BF0142"/>
    <w:rsid w:val="00F0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4ED69"/>
  <w15:docId w15:val="{4DB7795F-AA68-4790-B279-6DEFB710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character" w:styleId="a9">
    <w:name w:val="Hyperlink"/>
    <w:basedOn w:val="a0"/>
    <w:rPr>
      <w:color w:val="0563C1"/>
      <w:u w:val="single"/>
    </w:rPr>
  </w:style>
  <w:style w:type="numbering" w:customStyle="1" w:styleId="1">
    <w:name w:val="樣式1"/>
    <w:basedOn w:val="a2"/>
    <w:pPr>
      <w:numPr>
        <w:numId w:val="1"/>
      </w:numPr>
    </w:pPr>
  </w:style>
  <w:style w:type="character" w:styleId="aa">
    <w:name w:val="Unresolved Mention"/>
    <w:basedOn w:val="a0"/>
    <w:uiPriority w:val="99"/>
    <w:semiHidden/>
    <w:unhideWhenUsed/>
    <w:rsid w:val="009C288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C2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has.taichung.gov.tw/loh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smap.taichun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47CA-85C1-4C88-AF52-80407241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呂清海</dc:creator>
  <cp:lastModifiedBy>呂清海</cp:lastModifiedBy>
  <cp:revision>2</cp:revision>
  <cp:lastPrinted>2018-04-09T05:41:00Z</cp:lastPrinted>
  <dcterms:created xsi:type="dcterms:W3CDTF">2024-09-09T06:07:00Z</dcterms:created>
  <dcterms:modified xsi:type="dcterms:W3CDTF">2024-09-09T06:07:00Z</dcterms:modified>
</cp:coreProperties>
</file>